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69FE" w14:textId="50AE7F26" w:rsidR="00781519" w:rsidRDefault="00B549E2" w:rsidP="00E7089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A75E8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DA727B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Queensland Future Fund Act 2020</w:t>
      </w:r>
      <w:r w:rsidRPr="00A75E8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4D6CD7" w:rsidRPr="004D6CD7">
        <w:rPr>
          <w:rFonts w:ascii="Arial" w:hAnsi="Arial" w:cs="Arial"/>
          <w:bCs/>
          <w:color w:val="auto"/>
          <w:spacing w:val="-3"/>
          <w:sz w:val="22"/>
          <w:szCs w:val="22"/>
        </w:rPr>
        <w:t>established the Queensland Future Fund and its first sub-fund, the Debt Retirement Fund (DRF)</w:t>
      </w:r>
      <w:r w:rsidR="00972FD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. </w:t>
      </w:r>
      <w:r w:rsidR="00DA727B" w:rsidRPr="00DA727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DRF will be managed by QIC Limited (QIC) and structured to act as an offset against State debt by credit rating agencies when they assess Queensland’s debt burden.  </w:t>
      </w:r>
    </w:p>
    <w:p w14:paraId="369DE852" w14:textId="21136580" w:rsidR="00274531" w:rsidRDefault="00153A7F" w:rsidP="00E7089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53A7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In September 2020, the COVID-19 Fiscal and Economic Review (CFER) recognised a $5.67 billion contribution to seed the DRF, to be made by 30 June 2021, which included the 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contribution of Queensland </w:t>
      </w:r>
      <w:r w:rsidRPr="00153A7F">
        <w:rPr>
          <w:rFonts w:ascii="Arial" w:hAnsi="Arial" w:cs="Arial"/>
          <w:bCs/>
          <w:color w:val="auto"/>
          <w:spacing w:val="-3"/>
          <w:sz w:val="22"/>
          <w:szCs w:val="22"/>
        </w:rPr>
        <w:t>Titles Registry</w:t>
      </w:r>
      <w:r w:rsidR="005357C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(Titles Registry)</w:t>
      </w:r>
      <w:r w:rsidRPr="00153A7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.  </w:t>
      </w:r>
    </w:p>
    <w:p w14:paraId="0130BF47" w14:textId="41C0EB65" w:rsidR="00F440B8" w:rsidRDefault="001111AE" w:rsidP="00E7089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DA6A25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>Queensland</w:t>
      </w:r>
      <w:r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Future Fund (Titles Registry) Bill</w:t>
      </w:r>
      <w:r w:rsidR="00512254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2021</w:t>
      </w:r>
      <w:r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65B00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(the Bill) </w:t>
      </w:r>
      <w:r w:rsidR="00F440B8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>addresses specific matters linked to the transfer of the operations of the Titles Registry to the</w:t>
      </w:r>
      <w:r w:rsidR="00C52DC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440B8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>‘operator’</w:t>
      </w:r>
      <w:r w:rsidR="0081609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</w:t>
      </w:r>
      <w:r w:rsidR="00F440B8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newly formed company </w:t>
      </w:r>
      <w:r w:rsidR="00191BD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 w:rsidR="0038531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be contributed to </w:t>
      </w:r>
      <w:r w:rsidR="00F440B8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QIC managed trust within the </w:t>
      </w:r>
      <w:r w:rsidR="0038531F">
        <w:rPr>
          <w:rFonts w:ascii="Arial" w:hAnsi="Arial" w:cs="Arial"/>
          <w:bCs/>
          <w:color w:val="auto"/>
          <w:spacing w:val="-3"/>
          <w:sz w:val="22"/>
          <w:szCs w:val="22"/>
        </w:rPr>
        <w:t>DRF</w:t>
      </w:r>
      <w:r w:rsidR="00184D2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440B8" w:rsidRPr="00F440B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structure.  </w:t>
      </w:r>
    </w:p>
    <w:p w14:paraId="32AE3B03" w14:textId="4E5454D1" w:rsidR="00D26E4F" w:rsidRDefault="00D26E4F" w:rsidP="00E7089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Hlk56850027"/>
      <w:r>
        <w:rPr>
          <w:rFonts w:ascii="Arial" w:hAnsi="Arial" w:cs="Arial"/>
          <w:bCs/>
          <w:color w:val="auto"/>
          <w:spacing w:val="-3"/>
          <w:sz w:val="22"/>
          <w:szCs w:val="22"/>
        </w:rPr>
        <w:t>Specifically, t</w:t>
      </w:r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he Bill enables the transfer of Titles Registry assets, liabilities, rights, responsibilities, obligations, operations and employees to </w:t>
      </w:r>
      <w:r w:rsidR="00191BD9">
        <w:rPr>
          <w:rFonts w:ascii="Arial" w:hAnsi="Arial" w:cs="Arial"/>
          <w:bCs/>
          <w:color w:val="auto"/>
          <w:spacing w:val="-3"/>
          <w:sz w:val="22"/>
          <w:szCs w:val="22"/>
        </w:rPr>
        <w:t>the operator</w:t>
      </w:r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and permits the Registrar of Titles to delegate their statutory functions to </w:t>
      </w:r>
      <w:r w:rsidR="00191BD9">
        <w:rPr>
          <w:rFonts w:ascii="Arial" w:hAnsi="Arial" w:cs="Arial"/>
          <w:bCs/>
          <w:color w:val="auto"/>
          <w:spacing w:val="-3"/>
          <w:sz w:val="22"/>
          <w:szCs w:val="22"/>
        </w:rPr>
        <w:t>the operator</w:t>
      </w:r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.  </w:t>
      </w:r>
      <w:bookmarkEnd w:id="0"/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Bill also establishes the State’s protective rights to direct </w:t>
      </w:r>
      <w:r w:rsidR="00191BD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operator </w:t>
      </w:r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and take control of the titling and registry business of </w:t>
      </w:r>
      <w:r w:rsidR="00191BD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operator </w:t>
      </w:r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ensure </w:t>
      </w:r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>the security, integrity or availability of the registers, or to ensure the proper performance of Titles Registry functions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>, if necessary</w:t>
      </w:r>
      <w:r w:rsidRP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.  </w:t>
      </w:r>
    </w:p>
    <w:p w14:paraId="712AD2E2" w14:textId="1EB571A6" w:rsidR="007D136D" w:rsidRPr="00193A35" w:rsidRDefault="007D136D" w:rsidP="00E7089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Bill </w:t>
      </w:r>
      <w:r w:rsidR="00D26E4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also 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progresses amendments to Acts, including the 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Building Units and Group Titles Act</w:t>
      </w:r>
      <w:r w:rsid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 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1980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the 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Foreign Ownership of Land Register Act 1988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the 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Forestry Act 1959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the 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Land Act 1994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the 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Land Title Act 1994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the 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Property Law Act 1974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the 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South Bank Corporation Act 1989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</w:t>
      </w:r>
      <w:r w:rsidR="00EF790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and </w:t>
      </w:r>
      <w:r w:rsidRPr="00EF790A">
        <w:rPr>
          <w:rFonts w:ascii="Arial" w:hAnsi="Arial" w:cs="Arial"/>
          <w:bCs/>
          <w:color w:val="auto"/>
          <w:spacing w:val="-3"/>
          <w:sz w:val="22"/>
          <w:szCs w:val="22"/>
        </w:rPr>
        <w:t>the</w:t>
      </w:r>
      <w:r w:rsidRPr="00EF790A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 Water Act 2000</w:t>
      </w:r>
      <w:r w:rsidRPr="00193A35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36CC43C9" w14:textId="11383BA4" w:rsidR="00193A35" w:rsidRDefault="00CD6F5E" w:rsidP="00E70899">
      <w:pPr>
        <w:numPr>
          <w:ilvl w:val="0"/>
          <w:numId w:val="1"/>
        </w:numPr>
        <w:spacing w:before="240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193A35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 w:rsidR="0008285A" w:rsidRPr="00B64F4D">
        <w:rPr>
          <w:rFonts w:ascii="Arial" w:hAnsi="Arial" w:cs="Arial"/>
          <w:color w:val="auto"/>
          <w:sz w:val="22"/>
          <w:szCs w:val="22"/>
        </w:rPr>
        <w:t xml:space="preserve"> that </w:t>
      </w:r>
      <w:r w:rsidR="0008285A" w:rsidRPr="00193A35">
        <w:rPr>
          <w:rFonts w:ascii="Arial" w:hAnsi="Arial" w:cs="Arial"/>
          <w:color w:val="auto"/>
          <w:spacing w:val="-3"/>
          <w:sz w:val="22"/>
          <w:szCs w:val="22"/>
        </w:rPr>
        <w:t xml:space="preserve">the </w:t>
      </w:r>
      <w:bookmarkStart w:id="1" w:name="_Hlk64021341"/>
      <w:r w:rsidR="0008285A" w:rsidRPr="00193A35">
        <w:rPr>
          <w:rFonts w:ascii="Arial" w:hAnsi="Arial" w:cs="Arial"/>
          <w:color w:val="auto"/>
          <w:spacing w:val="-3"/>
          <w:sz w:val="22"/>
          <w:szCs w:val="22"/>
        </w:rPr>
        <w:t xml:space="preserve">Queensland Future Fund (Titles Registry) Bill </w:t>
      </w:r>
      <w:bookmarkEnd w:id="1"/>
      <w:r w:rsidR="0008285A" w:rsidRPr="00193A35">
        <w:rPr>
          <w:rFonts w:ascii="Arial" w:hAnsi="Arial" w:cs="Arial"/>
          <w:color w:val="auto"/>
          <w:spacing w:val="-3"/>
          <w:sz w:val="22"/>
          <w:szCs w:val="22"/>
        </w:rPr>
        <w:t>2021 be introduced into the Legislative Assembly</w:t>
      </w:r>
      <w:r w:rsidR="7030FCCF" w:rsidRPr="00193A35">
        <w:rPr>
          <w:rFonts w:ascii="Arial" w:hAnsi="Arial" w:cs="Arial"/>
          <w:color w:val="auto"/>
          <w:spacing w:val="-3"/>
          <w:sz w:val="22"/>
          <w:szCs w:val="22"/>
        </w:rPr>
        <w:t>.</w:t>
      </w:r>
    </w:p>
    <w:p w14:paraId="078D3638" w14:textId="53B56C79" w:rsidR="00CD6F5E" w:rsidRPr="00193A35" w:rsidRDefault="00CD6F5E" w:rsidP="001D5117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193A35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  <w:r w:rsidR="00595855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4E56BE0C" w14:textId="609AB40C" w:rsidR="00F84237" w:rsidRPr="00595855" w:rsidRDefault="000D53F6" w:rsidP="00E70899">
      <w:pPr>
        <w:numPr>
          <w:ilvl w:val="0"/>
          <w:numId w:val="2"/>
        </w:numPr>
        <w:spacing w:before="120"/>
        <w:ind w:left="811"/>
        <w:jc w:val="both"/>
        <w:rPr>
          <w:color w:val="auto"/>
        </w:rPr>
      </w:pPr>
      <w:hyperlink r:id="rId11" w:history="1">
        <w:r w:rsidR="00595855" w:rsidRPr="005F5BB4">
          <w:rPr>
            <w:rStyle w:val="Hyperlink"/>
            <w:rFonts w:ascii="Arial" w:hAnsi="Arial" w:cs="Arial"/>
            <w:spacing w:val="-3"/>
            <w:sz w:val="22"/>
            <w:szCs w:val="22"/>
          </w:rPr>
          <w:t xml:space="preserve">Debt Reduction and Savings Bill 2021 </w:t>
        </w:r>
        <w:r w:rsidR="00D62DA7" w:rsidRPr="005F5BB4">
          <w:rPr>
            <w:rStyle w:val="Hyperlink"/>
            <w:rFonts w:ascii="Arial" w:hAnsi="Arial" w:cs="Arial"/>
            <w:spacing w:val="-3"/>
            <w:sz w:val="22"/>
            <w:szCs w:val="22"/>
          </w:rPr>
          <w:t xml:space="preserve">(refer </w:t>
        </w:r>
        <w:r w:rsidR="00595855" w:rsidRPr="005F5BB4">
          <w:rPr>
            <w:rStyle w:val="Hyperlink"/>
            <w:rFonts w:ascii="Arial" w:hAnsi="Arial" w:cs="Arial"/>
            <w:spacing w:val="-3"/>
            <w:sz w:val="22"/>
            <w:szCs w:val="22"/>
          </w:rPr>
          <w:t>Chapter 1 Queensland Future Fund (Titles Registry)</w:t>
        </w:r>
      </w:hyperlink>
    </w:p>
    <w:p w14:paraId="2D593E3D" w14:textId="2327D0BB" w:rsidR="00595855" w:rsidRPr="00595855" w:rsidRDefault="000D53F6" w:rsidP="00E7089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2" w:history="1">
        <w:r w:rsidR="00595855" w:rsidRPr="005F5BB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C7642E4" w14:textId="0226170C" w:rsidR="00595855" w:rsidRDefault="000D53F6" w:rsidP="00E7089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3" w:history="1">
        <w:r w:rsidR="00595855" w:rsidRPr="00DD48A4">
          <w:rPr>
            <w:rStyle w:val="Hyperlink"/>
            <w:rFonts w:ascii="Arial" w:hAnsi="Arial" w:cs="Arial"/>
            <w:sz w:val="22"/>
            <w:szCs w:val="22"/>
          </w:rPr>
          <w:t>Erratum to Explanatory Notes</w:t>
        </w:r>
      </w:hyperlink>
    </w:p>
    <w:p w14:paraId="76436EF6" w14:textId="0D9CEED4" w:rsidR="00595855" w:rsidRPr="00595855" w:rsidRDefault="000D53F6" w:rsidP="00E7089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4" w:history="1">
        <w:r w:rsidR="00595855" w:rsidRPr="00DD48A4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595855" w:rsidRPr="00595855" w:rsidSect="00DB2A82">
      <w:head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783E" w14:textId="77777777" w:rsidR="00217CFB" w:rsidRDefault="00217CFB" w:rsidP="00D6589B">
      <w:r>
        <w:separator/>
      </w:r>
    </w:p>
  </w:endnote>
  <w:endnote w:type="continuationSeparator" w:id="0">
    <w:p w14:paraId="0CCB32E5" w14:textId="77777777" w:rsidR="00217CFB" w:rsidRDefault="00217CF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4D50" w14:textId="77777777" w:rsidR="00217CFB" w:rsidRDefault="00217CFB" w:rsidP="00D6589B">
      <w:r>
        <w:separator/>
      </w:r>
    </w:p>
  </w:footnote>
  <w:footnote w:type="continuationSeparator" w:id="0">
    <w:p w14:paraId="308DAFEE" w14:textId="77777777" w:rsidR="00217CFB" w:rsidRDefault="00217CF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204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840BEF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DCAD305" w14:textId="766AAFF4" w:rsidR="00183845" w:rsidRPr="0057737C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57737C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65288" w:rsidRPr="0057737C">
      <w:rPr>
        <w:rFonts w:ascii="Arial" w:hAnsi="Arial" w:cs="Arial"/>
        <w:b/>
        <w:color w:val="auto"/>
        <w:sz w:val="22"/>
        <w:szCs w:val="22"/>
        <w:lang w:eastAsia="en-US"/>
      </w:rPr>
      <w:t>March 2021</w:t>
    </w:r>
  </w:p>
  <w:p w14:paraId="690E691D" w14:textId="19A30576" w:rsidR="00183845" w:rsidRPr="0057737C" w:rsidRDefault="00D65288" w:rsidP="00183845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57737C">
      <w:rPr>
        <w:rFonts w:ascii="Arial" w:hAnsi="Arial" w:cs="Arial"/>
        <w:b/>
        <w:color w:val="auto"/>
        <w:sz w:val="22"/>
        <w:szCs w:val="22"/>
        <w:u w:val="single"/>
      </w:rPr>
      <w:t>Queensland Future Fund (Titles Registry)</w:t>
    </w:r>
  </w:p>
  <w:p w14:paraId="7AA14C2D" w14:textId="21C0379C" w:rsidR="00996BC4" w:rsidRDefault="00AC6E68" w:rsidP="0018384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</w:t>
    </w:r>
    <w:r w:rsidR="00996BC4">
      <w:rPr>
        <w:rFonts w:ascii="Arial" w:hAnsi="Arial" w:cs="Arial"/>
        <w:b/>
        <w:sz w:val="22"/>
        <w:szCs w:val="22"/>
        <w:u w:val="single"/>
      </w:rPr>
      <w:t xml:space="preserve">r and Minister for Investment </w:t>
    </w:r>
  </w:p>
  <w:p w14:paraId="092702B0" w14:textId="6D8F2158" w:rsidR="00AF554A" w:rsidRPr="007D773C" w:rsidRDefault="00AF554A" w:rsidP="001D5117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Resources</w:t>
    </w:r>
  </w:p>
  <w:p w14:paraId="79A3959B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8A6"/>
    <w:multiLevelType w:val="hybridMultilevel"/>
    <w:tmpl w:val="B3348930"/>
    <w:lvl w:ilvl="0" w:tplc="6062E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18EAE02"/>
    <w:lvl w:ilvl="0" w:tplc="F2B0F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9531720">
    <w:abstractNumId w:val="3"/>
  </w:num>
  <w:num w:numId="2" w16cid:durableId="981889309">
    <w:abstractNumId w:val="2"/>
  </w:num>
  <w:num w:numId="3" w16cid:durableId="1680892194">
    <w:abstractNumId w:val="1"/>
  </w:num>
  <w:num w:numId="4" w16cid:durableId="1922368513">
    <w:abstractNumId w:val="4"/>
  </w:num>
  <w:num w:numId="5" w16cid:durableId="30509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2775D"/>
    <w:rsid w:val="00027AE8"/>
    <w:rsid w:val="00080F8F"/>
    <w:rsid w:val="00081486"/>
    <w:rsid w:val="0008285A"/>
    <w:rsid w:val="00086AFE"/>
    <w:rsid w:val="000A605A"/>
    <w:rsid w:val="000C0790"/>
    <w:rsid w:val="000C7596"/>
    <w:rsid w:val="000D53F6"/>
    <w:rsid w:val="000E64C1"/>
    <w:rsid w:val="000F73D8"/>
    <w:rsid w:val="0010384C"/>
    <w:rsid w:val="001111AE"/>
    <w:rsid w:val="00115E1F"/>
    <w:rsid w:val="001375E0"/>
    <w:rsid w:val="00153A7F"/>
    <w:rsid w:val="00165B00"/>
    <w:rsid w:val="00174117"/>
    <w:rsid w:val="00183845"/>
    <w:rsid w:val="00184D24"/>
    <w:rsid w:val="00191BD9"/>
    <w:rsid w:val="00193A35"/>
    <w:rsid w:val="00194121"/>
    <w:rsid w:val="001D5117"/>
    <w:rsid w:val="001D6224"/>
    <w:rsid w:val="001F3E32"/>
    <w:rsid w:val="001F6034"/>
    <w:rsid w:val="00214B0B"/>
    <w:rsid w:val="00216B52"/>
    <w:rsid w:val="00217CFB"/>
    <w:rsid w:val="002400C0"/>
    <w:rsid w:val="00243287"/>
    <w:rsid w:val="00274531"/>
    <w:rsid w:val="00286D00"/>
    <w:rsid w:val="002F4B48"/>
    <w:rsid w:val="003340BD"/>
    <w:rsid w:val="00341F5C"/>
    <w:rsid w:val="00356DF6"/>
    <w:rsid w:val="00363FFB"/>
    <w:rsid w:val="00364024"/>
    <w:rsid w:val="003804B0"/>
    <w:rsid w:val="0038531F"/>
    <w:rsid w:val="00396F0D"/>
    <w:rsid w:val="003B29AC"/>
    <w:rsid w:val="003B58CA"/>
    <w:rsid w:val="003B7ACB"/>
    <w:rsid w:val="003D74F9"/>
    <w:rsid w:val="004273E6"/>
    <w:rsid w:val="004438E5"/>
    <w:rsid w:val="004533FA"/>
    <w:rsid w:val="00476F79"/>
    <w:rsid w:val="00496FD4"/>
    <w:rsid w:val="004B2B40"/>
    <w:rsid w:val="004B3AE8"/>
    <w:rsid w:val="004D6CD7"/>
    <w:rsid w:val="00500E11"/>
    <w:rsid w:val="00501C66"/>
    <w:rsid w:val="00512254"/>
    <w:rsid w:val="00513A77"/>
    <w:rsid w:val="005357C6"/>
    <w:rsid w:val="00545125"/>
    <w:rsid w:val="005507ED"/>
    <w:rsid w:val="00550873"/>
    <w:rsid w:val="00574F18"/>
    <w:rsid w:val="0057737C"/>
    <w:rsid w:val="005902C7"/>
    <w:rsid w:val="0059564F"/>
    <w:rsid w:val="00595855"/>
    <w:rsid w:val="005A126C"/>
    <w:rsid w:val="005C4C17"/>
    <w:rsid w:val="005F5BB4"/>
    <w:rsid w:val="00611E81"/>
    <w:rsid w:val="006329A3"/>
    <w:rsid w:val="00661BA5"/>
    <w:rsid w:val="00663133"/>
    <w:rsid w:val="006C48F5"/>
    <w:rsid w:val="007265D0"/>
    <w:rsid w:val="00732E22"/>
    <w:rsid w:val="00735B87"/>
    <w:rsid w:val="007372BD"/>
    <w:rsid w:val="00741C20"/>
    <w:rsid w:val="00781301"/>
    <w:rsid w:val="00781519"/>
    <w:rsid w:val="007B2B43"/>
    <w:rsid w:val="007D136D"/>
    <w:rsid w:val="007D67A5"/>
    <w:rsid w:val="007D773C"/>
    <w:rsid w:val="007F5B3D"/>
    <w:rsid w:val="00803F3B"/>
    <w:rsid w:val="00816090"/>
    <w:rsid w:val="00843A29"/>
    <w:rsid w:val="0085254A"/>
    <w:rsid w:val="0086099B"/>
    <w:rsid w:val="008E0F05"/>
    <w:rsid w:val="008F1081"/>
    <w:rsid w:val="008F1239"/>
    <w:rsid w:val="008F53FF"/>
    <w:rsid w:val="00904077"/>
    <w:rsid w:val="00922147"/>
    <w:rsid w:val="00927953"/>
    <w:rsid w:val="00937A4A"/>
    <w:rsid w:val="00945402"/>
    <w:rsid w:val="0095031D"/>
    <w:rsid w:val="00967602"/>
    <w:rsid w:val="00972FDD"/>
    <w:rsid w:val="0097427A"/>
    <w:rsid w:val="00975C48"/>
    <w:rsid w:val="00976878"/>
    <w:rsid w:val="00980658"/>
    <w:rsid w:val="00996BC4"/>
    <w:rsid w:val="009B15D3"/>
    <w:rsid w:val="00A105C3"/>
    <w:rsid w:val="00A15F09"/>
    <w:rsid w:val="00A75E8D"/>
    <w:rsid w:val="00AA56AF"/>
    <w:rsid w:val="00AC4AF3"/>
    <w:rsid w:val="00AC6E68"/>
    <w:rsid w:val="00AE722C"/>
    <w:rsid w:val="00AF554A"/>
    <w:rsid w:val="00B13FFD"/>
    <w:rsid w:val="00B51934"/>
    <w:rsid w:val="00B54546"/>
    <w:rsid w:val="00B549E2"/>
    <w:rsid w:val="00B60EBB"/>
    <w:rsid w:val="00B61485"/>
    <w:rsid w:val="00B64F4D"/>
    <w:rsid w:val="00B7184A"/>
    <w:rsid w:val="00B90212"/>
    <w:rsid w:val="00B94CC8"/>
    <w:rsid w:val="00C1622B"/>
    <w:rsid w:val="00C17DC6"/>
    <w:rsid w:val="00C4183C"/>
    <w:rsid w:val="00C446A7"/>
    <w:rsid w:val="00C52DCA"/>
    <w:rsid w:val="00C75E67"/>
    <w:rsid w:val="00C85DF6"/>
    <w:rsid w:val="00CA71B0"/>
    <w:rsid w:val="00CB0C76"/>
    <w:rsid w:val="00CB1501"/>
    <w:rsid w:val="00CC4F32"/>
    <w:rsid w:val="00CD2532"/>
    <w:rsid w:val="00CD6F5E"/>
    <w:rsid w:val="00CD7A50"/>
    <w:rsid w:val="00CD7BD3"/>
    <w:rsid w:val="00CE72FE"/>
    <w:rsid w:val="00CF0D8A"/>
    <w:rsid w:val="00D13A7C"/>
    <w:rsid w:val="00D1740E"/>
    <w:rsid w:val="00D26E4F"/>
    <w:rsid w:val="00D315D1"/>
    <w:rsid w:val="00D3556B"/>
    <w:rsid w:val="00D459A1"/>
    <w:rsid w:val="00D60AEE"/>
    <w:rsid w:val="00D62DA7"/>
    <w:rsid w:val="00D65288"/>
    <w:rsid w:val="00D6589B"/>
    <w:rsid w:val="00D7440C"/>
    <w:rsid w:val="00D766EC"/>
    <w:rsid w:val="00D9544F"/>
    <w:rsid w:val="00DA6A25"/>
    <w:rsid w:val="00DA727B"/>
    <w:rsid w:val="00DB2A82"/>
    <w:rsid w:val="00DD48A4"/>
    <w:rsid w:val="00DD6285"/>
    <w:rsid w:val="00E26F28"/>
    <w:rsid w:val="00E30AAE"/>
    <w:rsid w:val="00E63E81"/>
    <w:rsid w:val="00E70899"/>
    <w:rsid w:val="00E86DB4"/>
    <w:rsid w:val="00EA0A43"/>
    <w:rsid w:val="00EA488B"/>
    <w:rsid w:val="00EB4DB6"/>
    <w:rsid w:val="00ED5B6B"/>
    <w:rsid w:val="00ED622D"/>
    <w:rsid w:val="00EE4589"/>
    <w:rsid w:val="00EF503C"/>
    <w:rsid w:val="00EF790A"/>
    <w:rsid w:val="00F13DBE"/>
    <w:rsid w:val="00F25751"/>
    <w:rsid w:val="00F440B8"/>
    <w:rsid w:val="00F84237"/>
    <w:rsid w:val="00FA2623"/>
    <w:rsid w:val="00FB6565"/>
    <w:rsid w:val="00FC46D3"/>
    <w:rsid w:val="00FC46F1"/>
    <w:rsid w:val="31E6B2E6"/>
    <w:rsid w:val="4DCDB439"/>
    <w:rsid w:val="57E243B3"/>
    <w:rsid w:val="7030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C8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9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4531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F440B8"/>
  </w:style>
  <w:style w:type="paragraph" w:styleId="Revision">
    <w:name w:val="Revision"/>
    <w:hidden/>
    <w:uiPriority w:val="99"/>
    <w:semiHidden/>
    <w:rsid w:val="00DB2A82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D4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Erratum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ttachments/SoC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1257EA-125B-4423-9571-3BF047AF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453BD-9819-443C-9161-D8D3A37D9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F5882-94F1-4A57-A915-C93AEFB900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21298D-73FC-4BCD-B731-FB58BAC8028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218</TotalTime>
  <Pages>1</Pages>
  <Words>307</Words>
  <Characters>1677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Base>https://www.cabinet.qld.gov.au/documents/2021/Mar/QFF TitlesReg/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139</cp:revision>
  <cp:lastPrinted>2014-09-24T06:40:00Z</cp:lastPrinted>
  <dcterms:created xsi:type="dcterms:W3CDTF">2020-05-12T00:48:00Z</dcterms:created>
  <dcterms:modified xsi:type="dcterms:W3CDTF">2022-12-09T05:59:00Z</dcterms:modified>
  <cp:category>Financial_Administration,Government_Assets,Investment,Legislation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_dlc_DocId">
    <vt:lpwstr>BUSNCLLO-64-14</vt:lpwstr>
  </property>
  <property fmtid="{D5CDD505-2E9C-101B-9397-08002B2CF9AE}" pid="6" name="_dlc_DocIdItemGuid">
    <vt:lpwstr>e22130ea-b80c-4bd9-8536-4dc1ea989951</vt:lpwstr>
  </property>
  <property fmtid="{D5CDD505-2E9C-101B-9397-08002B2CF9AE}" pid="7" name="_dlc_DocIdUrl">
    <vt:lpwstr>https://nexus.treasury.qld.gov.au/business/cabinet-services-56/cab-sub/_layouts/DocIdRedir.aspx?ID=BUSNCLLO-64-14, BUSNCLLO-64-14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{af87e0f8-faf5-4f69-bfbc-eaa3de8a0820}</vt:lpwstr>
  </property>
  <property fmtid="{D5CDD505-2E9C-101B-9397-08002B2CF9AE}" pid="10" name="RecordPoint_ActiveItemListId">
    <vt:lpwstr>{e5ad0274-e0f1-4d93-bd7d-d1383b793b37}</vt:lpwstr>
  </property>
  <property fmtid="{D5CDD505-2E9C-101B-9397-08002B2CF9AE}" pid="11" name="RecordPoint_ActiveItemUniqueId">
    <vt:lpwstr>{0013d868-58d6-4b8c-aa23-cc3d98789482}</vt:lpwstr>
  </property>
  <property fmtid="{D5CDD505-2E9C-101B-9397-08002B2CF9AE}" pid="12" name="RecordPoint_ActiveItemWebId">
    <vt:lpwstr>{1e233ec5-52db-4b26-a440-1fe0b5202622}</vt:lpwstr>
  </property>
  <property fmtid="{D5CDD505-2E9C-101B-9397-08002B2CF9AE}" pid="13" name="RecordPoint_SubmissionCompleted">
    <vt:lpwstr>2021-01-06T15:18:32.8000774+10:00</vt:lpwstr>
  </property>
  <property fmtid="{D5CDD505-2E9C-101B-9397-08002B2CF9AE}" pid="14" name="RecordPoint_RecordNumberSubmitted">
    <vt:lpwstr>R0001913772</vt:lpwstr>
  </property>
  <property fmtid="{D5CDD505-2E9C-101B-9397-08002B2CF9AE}" pid="15" name="Conversation">
    <vt:lpwstr/>
  </property>
  <property fmtid="{D5CDD505-2E9C-101B-9397-08002B2CF9AE}" pid="16" name="To-Address">
    <vt:lpwstr/>
  </property>
  <property fmtid="{D5CDD505-2E9C-101B-9397-08002B2CF9AE}" pid="17" name="Bcc-Type">
    <vt:lpwstr/>
  </property>
  <property fmtid="{D5CDD505-2E9C-101B-9397-08002B2CF9AE}" pid="18" name="From-Address">
    <vt:lpwstr/>
  </property>
  <property fmtid="{D5CDD505-2E9C-101B-9397-08002B2CF9AE}" pid="19" name="From-Type">
    <vt:lpwstr/>
  </property>
  <property fmtid="{D5CDD505-2E9C-101B-9397-08002B2CF9AE}" pid="20" name="Bcc">
    <vt:lpwstr/>
  </property>
  <property fmtid="{D5CDD505-2E9C-101B-9397-08002B2CF9AE}" pid="21" name="Signed By">
    <vt:lpwstr/>
  </property>
  <property fmtid="{D5CDD505-2E9C-101B-9397-08002B2CF9AE}" pid="22" name="To-Type">
    <vt:lpwstr/>
  </property>
  <property fmtid="{D5CDD505-2E9C-101B-9397-08002B2CF9AE}" pid="23" name="Bcc-Address">
    <vt:lpwstr/>
  </property>
  <property fmtid="{D5CDD505-2E9C-101B-9397-08002B2CF9AE}" pid="24" name="Cc-Address">
    <vt:lpwstr/>
  </property>
  <property fmtid="{D5CDD505-2E9C-101B-9397-08002B2CF9AE}" pid="25" name="Cc">
    <vt:lpwstr/>
  </property>
  <property fmtid="{D5CDD505-2E9C-101B-9397-08002B2CF9AE}" pid="26" name="Cc-Type">
    <vt:lpwstr/>
  </property>
  <property fmtid="{D5CDD505-2E9C-101B-9397-08002B2CF9AE}" pid="27" name="To">
    <vt:lpwstr/>
  </property>
  <property fmtid="{D5CDD505-2E9C-101B-9397-08002B2CF9AE}" pid="28" name="From1">
    <vt:lpwstr/>
  </property>
  <property fmtid="{D5CDD505-2E9C-101B-9397-08002B2CF9AE}" pid="29" name="display_urn:schemas-microsoft-com:office:office#Editor">
    <vt:lpwstr>Rosemary Holley</vt:lpwstr>
  </property>
  <property fmtid="{D5CDD505-2E9C-101B-9397-08002B2CF9AE}" pid="30" name="display_urn:schemas-microsoft-com:office:office#Author">
    <vt:lpwstr>Rosemary Holley</vt:lpwstr>
  </property>
  <property fmtid="{D5CDD505-2E9C-101B-9397-08002B2CF9AE}" pid="31" name="RecordPoint_SubmissionDate">
    <vt:lpwstr/>
  </property>
  <property fmtid="{D5CDD505-2E9C-101B-9397-08002B2CF9AE}" pid="32" name="RecordPoint_RecordFormat">
    <vt:lpwstr/>
  </property>
  <property fmtid="{D5CDD505-2E9C-101B-9397-08002B2CF9AE}" pid="33" name="RecordPoint_ActiveItemMoved">
    <vt:lpwstr/>
  </property>
  <property fmtid="{D5CDD505-2E9C-101B-9397-08002B2CF9AE}" pid="34" name="MSIP_Label_5b083577-197b-450c-831d-654cf3f56dc2_Enabled">
    <vt:lpwstr>true</vt:lpwstr>
  </property>
  <property fmtid="{D5CDD505-2E9C-101B-9397-08002B2CF9AE}" pid="35" name="MSIP_Label_5b083577-197b-450c-831d-654cf3f56dc2_SetDate">
    <vt:lpwstr>2020-05-12T00:48:20Z</vt:lpwstr>
  </property>
  <property fmtid="{D5CDD505-2E9C-101B-9397-08002B2CF9AE}" pid="36" name="MSIP_Label_5b083577-197b-450c-831d-654cf3f56dc2_Method">
    <vt:lpwstr>Standard</vt:lpwstr>
  </property>
  <property fmtid="{D5CDD505-2E9C-101B-9397-08002B2CF9AE}" pid="37" name="MSIP_Label_5b083577-197b-450c-831d-654cf3f56dc2_Name">
    <vt:lpwstr>OFFICIAL</vt:lpwstr>
  </property>
  <property fmtid="{D5CDD505-2E9C-101B-9397-08002B2CF9AE}" pid="38" name="MSIP_Label_5b083577-197b-450c-831d-654cf3f56dc2_SiteId">
    <vt:lpwstr>823bfb03-da26-4cbf-a7d6-f02dbfdf182e</vt:lpwstr>
  </property>
  <property fmtid="{D5CDD505-2E9C-101B-9397-08002B2CF9AE}" pid="39" name="MSIP_Label_5b083577-197b-450c-831d-654cf3f56dc2_ActionId">
    <vt:lpwstr>5bbf9a58-7fc4-40d1-b84c-000004cd51eb</vt:lpwstr>
  </property>
  <property fmtid="{D5CDD505-2E9C-101B-9397-08002B2CF9AE}" pid="40" name="MSIP_Label_5b083577-197b-450c-831d-654cf3f56dc2_ContentBits">
    <vt:lpwstr>0</vt:lpwstr>
  </property>
  <property fmtid="{D5CDD505-2E9C-101B-9397-08002B2CF9AE}" pid="41" name="ContentTypeId">
    <vt:lpwstr>0x010100DDE14CFDD070B24F85F5DE43654FF01E</vt:lpwstr>
  </property>
  <property fmtid="{D5CDD505-2E9C-101B-9397-08002B2CF9AE}" pid="42" name="_docset_NoMedatataSyncRequired">
    <vt:lpwstr>False</vt:lpwstr>
  </property>
  <property fmtid="{D5CDD505-2E9C-101B-9397-08002B2CF9AE}" pid="43" name="CLLOItemType">
    <vt:lpwstr>12;#ATI Cab Submission|014468f9-896c-4b41-a0d2-1cf606d70ba8</vt:lpwstr>
  </property>
  <property fmtid="{D5CDD505-2E9C-101B-9397-08002B2CF9AE}" pid="44" name="QTBusinessOwner">
    <vt:lpwstr>4;#CLLO ＆ Ministerial Srvs|b859c25e-1652-4c10-95bf-24848b43173e</vt:lpwstr>
  </property>
  <property fmtid="{D5CDD505-2E9C-101B-9397-08002B2CF9AE}" pid="45" name="DocumentSetDescription">
    <vt:lpwstr/>
  </property>
  <property fmtid="{D5CDD505-2E9C-101B-9397-08002B2CF9AE}" pid="46" name="QTSecurityClassification">
    <vt:lpwstr>5;#PROTECTED|be8699ff-9764-4826-89d9-8284c1631fcb</vt:lpwstr>
  </property>
  <property fmtid="{D5CDD505-2E9C-101B-9397-08002B2CF9AE}" pid="47" name="DUT">
    <vt:lpwstr/>
  </property>
  <property fmtid="{D5CDD505-2E9C-101B-9397-08002B2CF9AE}" pid="48" name="CabNet">
    <vt:lpwstr/>
  </property>
  <property fmtid="{D5CDD505-2E9C-101B-9397-08002B2CF9AE}" pid="49" name="QTRetain">
    <vt:lpwstr>104;#Record|2584089d-4b41-46ae-ad46-8a9fb08e05f7</vt:lpwstr>
  </property>
  <property fmtid="{D5CDD505-2E9C-101B-9397-08002B2CF9AE}" pid="50" name="QTActivity">
    <vt:lpwstr>9;#Cabinet submission|b236656b-1460-4955-b67d-64dd5144e71d</vt:lpwstr>
  </property>
  <property fmtid="{D5CDD505-2E9C-101B-9397-08002B2CF9AE}" pid="51" name="UpdatePermissions">
    <vt:bool>false</vt:bool>
  </property>
  <property fmtid="{D5CDD505-2E9C-101B-9397-08002B2CF9AE}" pid="52" name="MediaServiceImageTags">
    <vt:lpwstr/>
  </property>
  <property fmtid="{D5CDD505-2E9C-101B-9397-08002B2CF9AE}" pid="53" name="MSIP_Label_282828d4-d65e-4c38-b4f3-1feba3142871_Enabled">
    <vt:lpwstr>true</vt:lpwstr>
  </property>
  <property fmtid="{D5CDD505-2E9C-101B-9397-08002B2CF9AE}" pid="54" name="MSIP_Label_282828d4-d65e-4c38-b4f3-1feba3142871_SetDate">
    <vt:lpwstr>2022-12-09T05:59:15Z</vt:lpwstr>
  </property>
  <property fmtid="{D5CDD505-2E9C-101B-9397-08002B2CF9AE}" pid="55" name="MSIP_Label_282828d4-d65e-4c38-b4f3-1feba3142871_Method">
    <vt:lpwstr>Standard</vt:lpwstr>
  </property>
  <property fmtid="{D5CDD505-2E9C-101B-9397-08002B2CF9AE}" pid="56" name="MSIP_Label_282828d4-d65e-4c38-b4f3-1feba3142871_Name">
    <vt:lpwstr>OFFICIAL</vt:lpwstr>
  </property>
  <property fmtid="{D5CDD505-2E9C-101B-9397-08002B2CF9AE}" pid="57" name="MSIP_Label_282828d4-d65e-4c38-b4f3-1feba3142871_SiteId">
    <vt:lpwstr>51778d2a-a6ab-4c76-97dc-782782d65046</vt:lpwstr>
  </property>
  <property fmtid="{D5CDD505-2E9C-101B-9397-08002B2CF9AE}" pid="58" name="MSIP_Label_282828d4-d65e-4c38-b4f3-1feba3142871_ActionId">
    <vt:lpwstr>909610e8-dc0f-4275-818c-96e88ab0be25</vt:lpwstr>
  </property>
  <property fmtid="{D5CDD505-2E9C-101B-9397-08002B2CF9AE}" pid="59" name="MSIP_Label_282828d4-d65e-4c38-b4f3-1feba3142871_ContentBits">
    <vt:lpwstr>0</vt:lpwstr>
  </property>
</Properties>
</file>